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RONPA0283ZPB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Pădurea Brădeanu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7,02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99,82%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7,02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RONPA0283 Pădurea Brădeanu. </w:t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490"/>
        <w:gridCol w:w="4474"/>
        <w:tblGridChange w:id="0">
          <w:tblGrid>
            <w:gridCol w:w="4490"/>
            <w:gridCol w:w="44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2">
            <w:pPr>
              <w:jc w:val="both"/>
              <w:rPr/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91I0* Păduri stepice euro-siberiene de Quercus spp.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prioritară pentru biodiversitate pentru ecosistemele forestiere aflate in tipul funcțional 1 care cuprinde rezervație naturală, habitate de păduri temperate europene prioritare precum și specii de nevertebrate, amfibieni și reptile de interes comunitar.</w:t>
            </w:r>
          </w:p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1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3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4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5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 habitat, lemn mort, microhabitate).</w:t>
            </w:r>
          </w:p>
          <w:p w:rsidR="00000000" w:rsidDel="00000000" w:rsidP="00000000" w:rsidRDefault="00000000" w:rsidRPr="00000000" w14:paraId="00000086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</w:t>
            </w:r>
          </w:p>
          <w:p w:rsidR="00000000" w:rsidDel="00000000" w:rsidP="00000000" w:rsidRDefault="00000000" w:rsidRPr="00000000" w14:paraId="00000087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umane.</w:t>
            </w:r>
          </w:p>
          <w:p w:rsidR="00000000" w:rsidDel="00000000" w:rsidP="00000000" w:rsidRDefault="00000000" w:rsidRPr="00000000" w14:paraId="0000008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</w:t>
            </w:r>
          </w:p>
          <w:p w:rsidR="00000000" w:rsidDel="00000000" w:rsidP="00000000" w:rsidRDefault="00000000" w:rsidRPr="00000000" w14:paraId="00000089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și recoltări neautorizate.</w:t>
            </w:r>
          </w:p>
          <w:p w:rsidR="00000000" w:rsidDel="00000000" w:rsidP="00000000" w:rsidRDefault="00000000" w:rsidRPr="00000000" w14:paraId="0000008A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</w:t>
            </w:r>
          </w:p>
          <w:p w:rsidR="00000000" w:rsidDel="00000000" w:rsidP="00000000" w:rsidRDefault="00000000" w:rsidRPr="00000000" w14:paraId="0000008D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 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Chirita C., Vlad I., Paunescu C., Patrascoiu  N., Rosu  C., Iancu I. 1977  “Statiuni forestiere”, Vol. II, Ed. Academiei R.S.R., Bucuresti, </w:t>
      </w:r>
    </w:p>
    <w:p w:rsidR="00000000" w:rsidDel="00000000" w:rsidP="00000000" w:rsidRDefault="00000000" w:rsidRPr="00000000" w14:paraId="0000009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Bucuresti, 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- Gafta D. &amp; Mountford J.O. 2008 - “Manual de interpretare a habitatelor Natura 2000 din Romania”, Ed. RISOPRINT, editor M.M.D.D.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bookmarkStart w:colFirst="0" w:colLast="0" w:name="_heading=h.124jouwu4eep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11 octombrie 2024 – DS Buzău, 17 octombrie 2024 – corespondență DS Buzău, 21 mai 2025 – Buzău, jud. Buzău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 lângă aceste consultări, au fost organizate și sesiuni de consultare online sau în format hibrid la nivel județean, desfășurate în data de 19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jc w:val="both"/>
        <w:rPr>
          <w:sz w:val="22"/>
          <w:szCs w:val="22"/>
        </w:rPr>
      </w:pPr>
      <w:bookmarkStart w:colFirst="0" w:colLast="0" w:name="_heading=h.s04cho10vbs0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2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A3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3b1N7Z01goKEnqrq7Pkb623NhA==">CgMxLjAyDmguMTI0am91d3U0ZWVwMg5oLnMwNGNobzEwdmJzMDgAciExeGZ3TDF3UDlHVmNNTFdYWlRYd3haQllVcF9xUGRwQVE=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